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90" w:rsidRDefault="001F3290" w:rsidP="001F3290">
      <w:pPr>
        <w:shd w:val="clear" w:color="auto" w:fill="FFFFFF"/>
        <w:spacing w:after="120"/>
        <w:ind w:firstLine="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42"/>
          <w:lang w:eastAsia="ru-RU"/>
        </w:rPr>
      </w:pPr>
      <w:r w:rsidRPr="001F3290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42"/>
          <w:lang w:eastAsia="ru-RU"/>
        </w:rPr>
        <w:t xml:space="preserve">Комплексная медицинская реабилитация больных, перенесших инфаркт миокарда, с применением методики биоакустической </w:t>
      </w:r>
      <w:proofErr w:type="spellStart"/>
      <w:r w:rsidRPr="001F3290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42"/>
          <w:lang w:eastAsia="ru-RU"/>
        </w:rPr>
        <w:t>психокоррекции</w:t>
      </w:r>
      <w:proofErr w:type="spellEnd"/>
    </w:p>
    <w:p w:rsidR="001F3290" w:rsidRDefault="001F3290" w:rsidP="001F3290">
      <w:pPr>
        <w:shd w:val="clear" w:color="auto" w:fill="FFFFFF"/>
        <w:spacing w:after="120"/>
        <w:ind w:firstLine="0"/>
        <w:outlineLvl w:val="0"/>
        <w:rPr>
          <w:rFonts w:ascii="Arial" w:hAnsi="Arial" w:cs="Arial"/>
          <w:color w:val="000000" w:themeColor="text1"/>
          <w:sz w:val="22"/>
          <w:szCs w:val="18"/>
          <w:shd w:val="clear" w:color="auto" w:fill="FFFFFF"/>
        </w:rPr>
      </w:pPr>
      <w:r w:rsidRPr="001F3290">
        <w:rPr>
          <w:rFonts w:ascii="Arial" w:hAnsi="Arial" w:cs="Arial"/>
          <w:color w:val="000000" w:themeColor="text1"/>
          <w:sz w:val="22"/>
          <w:szCs w:val="18"/>
          <w:shd w:val="clear" w:color="auto" w:fill="FFFFFF"/>
        </w:rPr>
        <w:t xml:space="preserve">Автор: А.М. </w:t>
      </w:r>
      <w:proofErr w:type="spellStart"/>
      <w:r w:rsidRPr="001F3290">
        <w:rPr>
          <w:rFonts w:ascii="Arial" w:hAnsi="Arial" w:cs="Arial"/>
          <w:color w:val="000000" w:themeColor="text1"/>
          <w:sz w:val="22"/>
          <w:szCs w:val="18"/>
          <w:shd w:val="clear" w:color="auto" w:fill="FFFFFF"/>
        </w:rPr>
        <w:t>Щегольков</w:t>
      </w:r>
      <w:proofErr w:type="spellEnd"/>
      <w:r w:rsidRPr="001F3290">
        <w:rPr>
          <w:rFonts w:ascii="Arial" w:hAnsi="Arial" w:cs="Arial"/>
          <w:color w:val="000000" w:themeColor="text1"/>
          <w:sz w:val="22"/>
          <w:szCs w:val="18"/>
          <w:shd w:val="clear" w:color="auto" w:fill="FFFFFF"/>
        </w:rPr>
        <w:t xml:space="preserve">, В.Е. Юдин, </w:t>
      </w:r>
      <w:proofErr w:type="spellStart"/>
      <w:r w:rsidRPr="001F3290">
        <w:rPr>
          <w:rFonts w:ascii="Arial" w:hAnsi="Arial" w:cs="Arial"/>
          <w:color w:val="000000" w:themeColor="text1"/>
          <w:sz w:val="22"/>
          <w:szCs w:val="18"/>
          <w:shd w:val="clear" w:color="auto" w:fill="FFFFFF"/>
        </w:rPr>
        <w:t>М.Д.Дыбов</w:t>
      </w:r>
      <w:proofErr w:type="spellEnd"/>
      <w:r w:rsidRPr="001F3290">
        <w:rPr>
          <w:rFonts w:ascii="Arial" w:hAnsi="Arial" w:cs="Arial"/>
          <w:color w:val="000000" w:themeColor="text1"/>
          <w:sz w:val="22"/>
          <w:szCs w:val="18"/>
          <w:shd w:val="clear" w:color="auto" w:fill="FFFFFF"/>
        </w:rPr>
        <w:t xml:space="preserve">, А.А. </w:t>
      </w:r>
      <w:proofErr w:type="spellStart"/>
      <w:r w:rsidRPr="001F3290">
        <w:rPr>
          <w:rFonts w:ascii="Arial" w:hAnsi="Arial" w:cs="Arial"/>
          <w:color w:val="000000" w:themeColor="text1"/>
          <w:sz w:val="22"/>
          <w:szCs w:val="18"/>
          <w:shd w:val="clear" w:color="auto" w:fill="FFFFFF"/>
        </w:rPr>
        <w:t>Будко</w:t>
      </w:r>
      <w:proofErr w:type="spellEnd"/>
      <w:r w:rsidRPr="001F3290">
        <w:rPr>
          <w:rFonts w:ascii="Arial" w:hAnsi="Arial" w:cs="Arial"/>
          <w:color w:val="000000" w:themeColor="text1"/>
          <w:sz w:val="22"/>
          <w:szCs w:val="18"/>
          <w:shd w:val="clear" w:color="auto" w:fill="FFFFFF"/>
        </w:rPr>
        <w:t>, В.В. Сычев, Е.П. Пушкарев</w:t>
      </w:r>
    </w:p>
    <w:p w:rsidR="00E55A4A" w:rsidRPr="001F3290" w:rsidRDefault="00E55A4A" w:rsidP="001F3290">
      <w:pPr>
        <w:shd w:val="clear" w:color="auto" w:fill="FFFFFF"/>
        <w:spacing w:after="120"/>
        <w:ind w:firstLine="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42"/>
          <w:lang w:eastAsia="ru-RU"/>
        </w:rPr>
      </w:pPr>
      <w:r>
        <w:rPr>
          <w:rFonts w:ascii="Arial" w:hAnsi="Arial" w:cs="Arial"/>
          <w:color w:val="000000" w:themeColor="text1"/>
          <w:sz w:val="22"/>
          <w:szCs w:val="18"/>
          <w:shd w:val="clear" w:color="auto" w:fill="FFFFFF"/>
        </w:rPr>
        <w:t>2010 г.</w:t>
      </w:r>
      <w:bookmarkStart w:id="0" w:name="_GoBack"/>
      <w:bookmarkEnd w:id="0"/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Введение: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Инфаркт миокарда – самое тяжелое проявление ишемической болезни сердца (ИБС),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proofErr w:type="gram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опасное</w:t>
      </w:r>
      <w:proofErr w:type="gram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своими осложнениями и высокой летальностью. Смертность больных ИМ   составляет около 30%, при этом половина летальных исходов происходит </w:t>
      </w:r>
      <w:proofErr w:type="gram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 первые</w:t>
      </w:r>
      <w:proofErr w:type="gram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1-2 часа на </w:t>
      </w:r>
      <w:proofErr w:type="spell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догоспитальном</w:t>
      </w:r>
      <w:proofErr w:type="spell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этапе. После выписки из стационара смертность в первый год составляет в среднем 4%, при этом у лиц старше 65 лет  смертность гораздо выше: в первый месяц – до 20%, в первый год – до 35% (15). По мнению многих исследователей одним из провоцирующих факторов развития ИМ чрезвычайное или длительное психоэмоциональное напряжение (5). Вместе с этим уже сам ИМ  является тяжелым психотравмирующим событием в жизни больного, в результате чего, происходит перенапряжение сферы высшей нервной деятельности (3). В связи с этим, одним из направлений современной медицинской реабилитации больных ИМ является восстановление функциональных резервов организма, ослабленных в результате болезни (2). Уровень, функциональных резервов организма, во многом, определяется функциональным состоянием центральной нервной системы (ЦНС) и вегетативной нервной системы. Снижение функционального состояния ЦНС проявляется в виде астенических нарушений и вегетативных дисфункций, которые наряду с различными невротическими проявлениями, являются общими при психосоматической патологии (1).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          В комплексные программы реабилитации больных ИМ входят различные методы оптимизации функционального состояния ЦНС (психотерапия, </w:t>
      </w:r>
      <w:proofErr w:type="spell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психофармакотерапия</w:t>
      </w:r>
      <w:proofErr w:type="spell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, фитотерапия, физиотерапия) (4,5,6). В последнее время, для коррекции функциональных нарушений ЦНС при различных патологических состояниях, используются методы произвольной (когнитивной) саморегуляции на основе биологической обратной связи (</w:t>
      </w:r>
      <w:proofErr w:type="gram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БОС</w:t>
      </w:r>
      <w:proofErr w:type="gram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) по электроэнцефалограмме (ЭЭГ) (7, 8, 9, 10, 21). Результаты успешного применения управления   ритмами ЭЭГ при коррекции функциональных расстройств ЦНС при различных заболеваниях (11,12,13,14) указывают на возможность применения методик </w:t>
      </w:r>
      <w:proofErr w:type="gram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БОС</w:t>
      </w:r>
      <w:proofErr w:type="gram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в реабилитации больных ИМ.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Цель исследования:  </w:t>
      </w: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оценка эффективности комплексной медицинской реабилитации больных ИМ с применением методики биоакустической </w:t>
      </w:r>
      <w:proofErr w:type="spell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психокоррекции</w:t>
      </w:r>
      <w:proofErr w:type="spell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БПК (методики </w:t>
      </w:r>
      <w:r w:rsidRPr="001F329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непроизвольной саморегуляции) </w:t>
      </w: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 позднем госпитальном этапе.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Материал и методы исследования: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         Для достижения поставленной цели было обследовано 86 больных ИМ в возрасте от 42 до 67 (средний возраст 56±2,2). Все обследованные больные были мужчинами. Обследованные больные были разделены на 2 группы: основная группа (ОГ) и контрольная группа (</w:t>
      </w:r>
      <w:proofErr w:type="gram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КГ</w:t>
      </w:r>
      <w:proofErr w:type="gram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) по 43 человека в каждой. В ОГ 23 пациента (53,4%) перенести ИМ с формированием патологического зубца Q, 20 пациентов (46,6 %) перенесли ИМ без формирования патологического зубца Q. В </w:t>
      </w:r>
      <w:proofErr w:type="gram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КГ</w:t>
      </w:r>
      <w:proofErr w:type="gram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22 пациента (51,1%) перенести ИМ с формированием патологического зубца Q, 21 пациент (48,9 %) перенесли ИМ без формирования патологического зубца Q. У 25 (58,1%) пациентов ОГ </w:t>
      </w:r>
      <w:proofErr w:type="spell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настояший</w:t>
      </w:r>
      <w:proofErr w:type="spell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ИМ был первичный, у 18(41,9%) пациентов диагностирован повторный ИМ. Среди пациентов </w:t>
      </w:r>
      <w:proofErr w:type="gram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КГ</w:t>
      </w:r>
      <w:proofErr w:type="gram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у 23 (53,4%) настоящий ИМ был первичный, у 20 (46,6 %) ИМ был  повторным. По длительности заболевания, тяжести клинического состояния, наличию сопутствующих заболеваний больные обеих групп существенно не отличались.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          Большинство больных – работники высоко-эмоционального, умственного труда. Пациенты обеих групп выполняли стандартные реабилитационные программы, которые включали режим, диету № 10 с пониженным содержанием жиров, физиотерапию, фитотерапию, лечебную гимнастику, фармакотерапию по показаниям (</w:t>
      </w:r>
      <w:proofErr w:type="spell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дезагреганты</w:t>
      </w:r>
      <w:proofErr w:type="spell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, бета-блокаторы, </w:t>
      </w:r>
      <w:proofErr w:type="spell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статины</w:t>
      </w:r>
      <w:proofErr w:type="spell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, ингибиторы АПФ, нитраты) (16,17). Больные ОГ дополнительно получали сеансы БПК. Курс состоял из 6 сеансов по 15 минут каждый, ежедневно. Медицинская реабилитация больных </w:t>
      </w:r>
      <w:proofErr w:type="gram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КГ</w:t>
      </w:r>
      <w:proofErr w:type="gram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проводилась без применения БПК.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           Всем больным было проведено общеклиническое, лабораторное, инструментальное, психофизиологическое и психологическое обследование. </w:t>
      </w:r>
      <w:proofErr w:type="gram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Клико-биохимическое</w:t>
      </w:r>
      <w:proofErr w:type="gram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исследование включало общий анализ крови, биохимический анализ крови, исследование липидного обмена, общий анализ мочи.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          Электрокардиографическое исследование проводилось в 12 стандартных отведениях с последующей оценкой электрокардиограммы. Исследование толерантности к физической нагрузк</w:t>
      </w:r>
      <w:proofErr w:type="gram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е(</w:t>
      </w:r>
      <w:proofErr w:type="gram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ТФН) проводилось методом велоэргометрии в положении больного сидя, по непрерывно ступенчато возрастающей методике, под контролем ЭКГ, артериального давления и частоты сердечных сокращений. Эхокардиография выполнялась в одно- и двухмерном </w:t>
      </w:r>
      <w:proofErr w:type="gram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режиме</w:t>
      </w:r>
      <w:proofErr w:type="gram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по методике Комитета по стандартизации и номенклатуре двухмерной эхокардиографии Американского общества кардиологов в положении больного на левом боку.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           Исследование ФВД и бронхиальной проходимости производили при помощи </w:t>
      </w:r>
      <w:proofErr w:type="spell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спироанализатора</w:t>
      </w:r>
      <w:proofErr w:type="spell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«</w:t>
      </w:r>
      <w:proofErr w:type="spell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Spirolab</w:t>
      </w:r>
      <w:proofErr w:type="spell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II» MIR (Италия) в положении больного сидя с последующей компьютерной обработкой результатов на микропроцессоре той же фирмы.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 xml:space="preserve">           Состояние вегетативной нервной системы оценивали с помощью вегетативного индекса </w:t>
      </w:r>
      <w:proofErr w:type="spell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Кердо</w:t>
      </w:r>
      <w:proofErr w:type="spell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и вегетативного коэффициента (ВК), который рассчитывался при обработке теста </w:t>
      </w:r>
      <w:proofErr w:type="spell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Люшера</w:t>
      </w:r>
      <w:proofErr w:type="spell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Психологическое исследование включало </w:t>
      </w:r>
      <w:proofErr w:type="spell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самооценочный</w:t>
      </w:r>
      <w:proofErr w:type="spell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тест САН и тест </w:t>
      </w:r>
      <w:proofErr w:type="spell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Спилбергера</w:t>
      </w:r>
      <w:proofErr w:type="spell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proofErr w:type="gram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–Х</w:t>
      </w:r>
      <w:proofErr w:type="gram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анина, по которому определялся уровень тревожности как личностной (ЛТ), так и  ситуационно обусловленной (РТ). Исследования функционального состояния ЦНС проводилось с помощью периодометрического анализа электроэнцефалограммы (ЭЭГ) и простой </w:t>
      </w:r>
      <w:proofErr w:type="spellStart"/>
      <w:proofErr w:type="gram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простой</w:t>
      </w:r>
      <w:proofErr w:type="spellEnd"/>
      <w:proofErr w:type="gram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зрительно-моторной реакции (ПЗМР) (18). Регистрация ЭЭГ осуществлялась посредством двух биполярных отведений лоб-затылок с правого и левого  полушарий. Анализ ритмов биоэлектрической активности головного мозга осуществлялся по данным ЭЭГ. Процедура БПК проводилась с помощью устройства преобразования суммарной электрической активности головного мозга в звук музыкального диапазона для биоакустической нормализации психофизиологического состояния «Синхро-С». Преобразование сигнала ЭЭГ в звуковой образ выполнялось с помощью компьютера на основе операции транспонирования, которая позволяет «перемещать» гармоники сигналов по шкале частот. Преобразование происходит в реального </w:t>
      </w:r>
      <w:proofErr w:type="gram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масштабе</w:t>
      </w:r>
      <w:proofErr w:type="gram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 времени с минимальной задержкой, равной периоду колебаний ЭЭГ, записываемому в память компьютера.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              Статистическая обработка материала проведена с помощью программы « STATIST» на ПЭВМ.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Результаты и их обсуждение.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              При поступлении  в реабилитационный центр наиболее частыми жалобами больных были загрудинные боли с иррадиацией в левую половину грудной клетки или левую лопатку. Приступы стенокардии возникали при ходьбе  по ровной местности в обычном или ускоренном темпе, подъеме по лестнице менее двух лестничных пролетов. Кроме того у обследованных больных ИМ, наряду с нарушением ряда гемодинамических показателей, снижением ТФН, определялось психоэмоциональное напряжение, </w:t>
      </w:r>
      <w:proofErr w:type="spell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астеноневротические</w:t>
      </w:r>
      <w:proofErr w:type="spell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нарушения, повышенная тревожность,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вегетативный дисбаланс с активацией симпатической нервной системы, нарушение ритмичности и </w:t>
      </w:r>
      <w:proofErr w:type="gram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значительная</w:t>
      </w:r>
      <w:proofErr w:type="gram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асинхрония</w:t>
      </w:r>
      <w:proofErr w:type="spell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биоэлектрической активности корковых нейронов.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              В результате проведенного курса реабилитации количество больных, предъявляющих жалобы на ангинозные боли, уменьшилось с 82% до 52% в ОГ и с 80% до 63% в </w:t>
      </w:r>
      <w:proofErr w:type="gram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КГ</w:t>
      </w:r>
      <w:proofErr w:type="gram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. Количество больных </w:t>
      </w:r>
      <w:proofErr w:type="spellStart"/>
      <w:proofErr w:type="gram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больных</w:t>
      </w:r>
      <w:proofErr w:type="spellEnd"/>
      <w:proofErr w:type="gram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предъявляющих жалобы на одышку уменьшилось с 44% до 19% в ОГ, и с 49% до 25% в ГК.  Жалобы </w:t>
      </w:r>
      <w:proofErr w:type="spell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астеневротического</w:t>
      </w:r>
      <w:proofErr w:type="spell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круга, которые отмечались практически всеми пациентами, исчезли полностью у 72% пациентов ОГ и у 46% КГ, значительно уменьшились у  19% пациентов ОГ и у 31% пациентов КГ. Вегетативная регуляция, у обследованных больных была в основном, обусловлена симпатическим доминированием. По окончании курса реабилитации количество больных с </w:t>
      </w:r>
      <w:proofErr w:type="spell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симпатикотонией</w:t>
      </w:r>
      <w:proofErr w:type="spell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в ОГ снизилось на 36% , в то время как в ОГ только на 19%. Индекс </w:t>
      </w:r>
      <w:proofErr w:type="spell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Кердо</w:t>
      </w:r>
      <w:proofErr w:type="spell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изменился у больных ОГ с 6,7±0,8 до 4,6±0,9 баллов (р&lt;0,05), у больных КГ с </w:t>
      </w:r>
      <w:proofErr w:type="spellStart"/>
      <w:proofErr w:type="gram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</w:t>
      </w:r>
      <w:proofErr w:type="spellEnd"/>
      <w:proofErr w:type="gram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7,1±0,9 до 6,2±1,2 баллов (р&lt;0,05). Динамика ВК оказалась статистически недостоверной с 2,2±0,9 до 1,9±0,8 баллов (</w:t>
      </w:r>
      <w:proofErr w:type="gram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</w:t>
      </w:r>
      <w:proofErr w:type="gram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&lt;0,05) в ОГ, и с 2,3±0,7 до 2,2±0,8 баллов (р&lt;0,05) в КГ.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              Существенных различий в динамике липидного профиля у больных ОГ и </w:t>
      </w:r>
      <w:proofErr w:type="gram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КГ</w:t>
      </w:r>
      <w:proofErr w:type="gram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выявлено не было. Основные показатели эхокардиографии и ВЭМ у больных ИМ в результате проведенного восстановительного лечения представлены в таблице 1.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Таблица 1. Динамика показателей эхокардиографии и ВЭМ у больных ИМ в результате реабилитационного лечения (</w:t>
      </w:r>
      <w:proofErr w:type="spell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M±m</w:t>
      </w:r>
      <w:proofErr w:type="spell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).</w:t>
      </w:r>
    </w:p>
    <w:p w:rsidR="001F3290" w:rsidRPr="001F3290" w:rsidRDefault="001F3290" w:rsidP="001F3290">
      <w:pPr>
        <w:shd w:val="clear" w:color="auto" w:fill="FFFFFF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980"/>
        <w:gridCol w:w="1800"/>
        <w:gridCol w:w="1980"/>
        <w:gridCol w:w="2265"/>
      </w:tblGrid>
      <w:tr w:rsidR="001F3290" w:rsidRPr="001F3290" w:rsidTr="001F3290">
        <w:trPr>
          <w:tblCellSpacing w:w="0" w:type="dxa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Показатели</w:t>
            </w:r>
          </w:p>
        </w:tc>
        <w:tc>
          <w:tcPr>
            <w:tcW w:w="3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                       ОГ (n=43)</w:t>
            </w: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gramStart"/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КГ</w:t>
            </w:r>
            <w:proofErr w:type="gramEnd"/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(n=43)</w:t>
            </w:r>
          </w:p>
        </w:tc>
      </w:tr>
      <w:tr w:rsidR="001F3290" w:rsidRPr="001F3290" w:rsidTr="001F32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До лечения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После лечения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До лечения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После лечения</w:t>
            </w:r>
          </w:p>
        </w:tc>
      </w:tr>
      <w:tr w:rsidR="001F3290" w:rsidRPr="001F3290" w:rsidTr="001F3290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ФВ, %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45,2±2,1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51,9±2,4**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46,1±2,5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49,3±2,2</w:t>
            </w:r>
          </w:p>
        </w:tc>
      </w:tr>
      <w:tr w:rsidR="001F3290" w:rsidRPr="001F3290" w:rsidTr="001F3290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УО, мл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65,4±3,7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76,6±4,1*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66,9±3,5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71,8±4,2</w:t>
            </w:r>
          </w:p>
        </w:tc>
      </w:tr>
      <w:tr w:rsidR="001F3290" w:rsidRPr="001F3290" w:rsidTr="001F3290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КРД, мм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55,9±3,6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52,4±4,1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53,9±3,4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52,8±4,2</w:t>
            </w:r>
          </w:p>
        </w:tc>
      </w:tr>
      <w:tr w:rsidR="001F3290" w:rsidRPr="001F3290" w:rsidTr="001F3290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КСР, мм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40,9±2,5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38,6±3,2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41,2±2,4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39,1±2,9</w:t>
            </w:r>
          </w:p>
        </w:tc>
      </w:tr>
      <w:tr w:rsidR="001F3290" w:rsidRPr="001F3290" w:rsidTr="001F3290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КДО, мл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176,8±6,4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167,1±5,6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175,6±5,8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170,8±6,1</w:t>
            </w:r>
          </w:p>
        </w:tc>
      </w:tr>
      <w:tr w:rsidR="001F3290" w:rsidRPr="001F3290" w:rsidTr="001F3290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КСО, мл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72,6±4,2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66,3±3,7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70,9±3,8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68,5±3,3</w:t>
            </w:r>
          </w:p>
        </w:tc>
      </w:tr>
      <w:tr w:rsidR="001F3290" w:rsidRPr="001F3290" w:rsidTr="001F3290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ТФН, Вт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68,2±4,7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90,4±5,1**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67,8±4,3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81,2±4,8*</w:t>
            </w:r>
          </w:p>
        </w:tc>
      </w:tr>
      <w:tr w:rsidR="001F3290" w:rsidRPr="001F3290" w:rsidTr="001F3290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ДП, </w:t>
            </w:r>
            <w:proofErr w:type="spellStart"/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усл</w:t>
            </w:r>
            <w:proofErr w:type="spellEnd"/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 Ед.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163,9±6,2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194,3±7,1**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160,6±5,7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178,5±6,8*</w:t>
            </w:r>
          </w:p>
        </w:tc>
      </w:tr>
    </w:tbl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** - достоверность различий  (</w:t>
      </w:r>
      <w:proofErr w:type="gram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</w:t>
      </w:r>
      <w:proofErr w:type="gram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&lt;0,01), * - достоверность различий (р&lt;0,05).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>             В результате восстановительного лечения у больных ОГ и ГК была отмечена положительная динамика, уменьшились ДО ЛЖ и СО ЛЖ, увеличились УО ЛЖ, ФВ, возросли ТФН и двойное произведение. Достоверно более выраженные результаты были получены в ОГ.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             Динамика показателей ФВД приведена в таблице 2.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Таблица 2. Динамика показателей ФВД у больных ИМ в процессе реабилитации (</w:t>
      </w:r>
      <w:proofErr w:type="spell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M±m</w:t>
      </w:r>
      <w:proofErr w:type="spell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).</w:t>
      </w:r>
    </w:p>
    <w:p w:rsidR="001F3290" w:rsidRPr="001F3290" w:rsidRDefault="001F3290" w:rsidP="001F3290">
      <w:pPr>
        <w:shd w:val="clear" w:color="auto" w:fill="FFFFFF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1905"/>
        <w:gridCol w:w="1905"/>
        <w:gridCol w:w="1905"/>
        <w:gridCol w:w="1905"/>
      </w:tblGrid>
      <w:tr w:rsidR="001F3290" w:rsidRPr="001F3290" w:rsidTr="001F3290">
        <w:trPr>
          <w:tblCellSpacing w:w="0" w:type="dxa"/>
        </w:trPr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Показатели</w:t>
            </w:r>
          </w:p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(% от должной величины)</w:t>
            </w:r>
          </w:p>
        </w:tc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                       ОГ (n=43)</w:t>
            </w:r>
          </w:p>
        </w:tc>
        <w:tc>
          <w:tcPr>
            <w:tcW w:w="3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proofErr w:type="gramStart"/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КГ</w:t>
            </w:r>
            <w:proofErr w:type="gramEnd"/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(n=43)</w:t>
            </w:r>
          </w:p>
        </w:tc>
      </w:tr>
      <w:tr w:rsidR="001F3290" w:rsidRPr="001F3290" w:rsidTr="001F329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До лечения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После лечения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До лечения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После лечения</w:t>
            </w:r>
          </w:p>
        </w:tc>
      </w:tr>
      <w:tr w:rsidR="001F3290" w:rsidRPr="001F3290" w:rsidTr="001F3290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ЖЕЛ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84,3±4,1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105,7±5,3**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83,6±3,9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91,3±6,1</w:t>
            </w:r>
          </w:p>
        </w:tc>
      </w:tr>
      <w:tr w:rsidR="001F3290" w:rsidRPr="001F3290" w:rsidTr="001F3290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ФЖЕЛ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75,5±3,5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89,1±4,3*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76,4±3,3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84,6±4,4</w:t>
            </w:r>
          </w:p>
        </w:tc>
      </w:tr>
      <w:tr w:rsidR="001F3290" w:rsidRPr="001F3290" w:rsidTr="001F3290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ОФВ 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80,7±4,3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96,4±3,9*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82,4±4,2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91,2±4,8</w:t>
            </w:r>
          </w:p>
        </w:tc>
      </w:tr>
      <w:tr w:rsidR="001F3290" w:rsidRPr="001F3290" w:rsidTr="001F3290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ОФВ</w:t>
            </w:r>
            <w:proofErr w:type="gramStart"/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  <w:proofErr w:type="gramEnd"/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/ЖЕЛx100%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82,3±5,2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94,9±3,5*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83,2±4,9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87,8±3,8</w:t>
            </w:r>
          </w:p>
        </w:tc>
      </w:tr>
      <w:tr w:rsidR="001F3290" w:rsidRPr="001F3290" w:rsidTr="001F3290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Пиковая скорость выдоха 25%, (л/с)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81,1±5,4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98,3±5,2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85,2±4,8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92,0±4,4</w:t>
            </w:r>
          </w:p>
        </w:tc>
      </w:tr>
      <w:tr w:rsidR="001F3290" w:rsidRPr="001F3290" w:rsidTr="001F3290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Пиковая скорость выдоха 50%, (л/с)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91,9±4,1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104,2±5,6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95,9±5,1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98,2±4,9</w:t>
            </w:r>
          </w:p>
        </w:tc>
      </w:tr>
      <w:tr w:rsidR="001F3290" w:rsidRPr="001F3290" w:rsidTr="001F3290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Пиковая скорость выдоха 75%, (л/с)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93,2±3,8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105,5±4,1*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95,2±4,6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99,4±4,2</w:t>
            </w:r>
          </w:p>
        </w:tc>
      </w:tr>
      <w:tr w:rsidR="001F3290" w:rsidRPr="001F3290" w:rsidTr="001F3290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МВЛ (л/м)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65,4±4,6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81,9±4,2**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64,2±4,1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3290" w:rsidRPr="001F3290" w:rsidRDefault="001F3290" w:rsidP="001F3290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F329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76,6±4,3*</w:t>
            </w:r>
          </w:p>
        </w:tc>
      </w:tr>
    </w:tbl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** - достоверность различий  (</w:t>
      </w:r>
      <w:proofErr w:type="gram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</w:t>
      </w:r>
      <w:proofErr w:type="gram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&lt;0,01), * - достоверность различий (р&lt;0,05).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Из данных таблицы 2 видно, что включение БПК в реабилитационную программу ОГ</w:t>
      </w:r>
      <w:proofErr w:type="gram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</w:t>
      </w:r>
      <w:proofErr w:type="gram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способствовало улучшению ФВД, в виде достоверного увеличения показателей ЖЕЛ, ОФВ1, МВЛ, скоростных показателей вентиляции. В </w:t>
      </w:r>
      <w:proofErr w:type="gram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КГ</w:t>
      </w:r>
      <w:proofErr w:type="gram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также выявлено улучшение показателей ФВД, однако увеличение показателей ФВД было менее выраженным и статистически не достоверным. Данные изменения свидетельствуют об уменьшении проявлений дыхательной недостаточности у больных ИМ, особенно в ОГ.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Реабилитационное лечение способствовало улучшению психофизиологических показателей больных ИМ обеих групп.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 ОГ произошло статистически достоверное снижение показателя РТ с 48,3±4,1 до 34,5±3,1 (</w:t>
      </w:r>
      <w:proofErr w:type="gram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</w:t>
      </w:r>
      <w:proofErr w:type="gram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&lt;0,01), в КГ показатель РТ снизился с 46,5±5,1 до 39,6±4,3 (р&lt;0,05). </w:t>
      </w:r>
      <w:proofErr w:type="spellStart"/>
      <w:proofErr w:type="gram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Сущест</w:t>
      </w:r>
      <w:proofErr w:type="spell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-венных</w:t>
      </w:r>
      <w:proofErr w:type="gram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 изменений ЛТ не произошло ни в одной из групп.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 тесту САН также произошли положительные изменения по всем показателям. У больных ОГ отмечено достоверное увеличение показателей  самочувствия с 3,2±0,5 до 5,3±0,6 (</w:t>
      </w:r>
      <w:proofErr w:type="gram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</w:t>
      </w:r>
      <w:proofErr w:type="gram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&lt;0,01), активности с 3,4±0,6 до 5,6±0,7 (р&lt;0,05), настроения с 3,8±0,7 до 6,3±0,9(р&lt;0,05). У больных КГ изменения показателей по тесту САН оказались недостоверными, показатели самочувствия с 3,2±0,5 до 5,3±0,6 (</w:t>
      </w:r>
      <w:proofErr w:type="gram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</w:t>
      </w:r>
      <w:proofErr w:type="gram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&lt;0,01), активности с 3,4±0,6 до 5,6±0,7 (р&lt;0,05), настроения с 3,8±0,7 до 6,3±0,9(р&gt;0,05).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При проведении электроэнцефалографии (ЭЭГ) у 16 (37,2%) больных ОГ и у 19 (44,1%) больных </w:t>
      </w:r>
      <w:proofErr w:type="gram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КГ</w:t>
      </w:r>
      <w:proofErr w:type="gram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выявлена </w:t>
      </w:r>
      <w:proofErr w:type="spell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полиритмичная</w:t>
      </w:r>
      <w:proofErr w:type="spell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организация ЭЭГ, что характерно для органического поражения головного мозга. Подобные изменения, по всей видимости, обусловлено церебральным атеросклерозом. У 27 (62,8%) больных ОГ и у 24 (55,9%) больных </w:t>
      </w:r>
      <w:proofErr w:type="gram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КГ</w:t>
      </w:r>
      <w:proofErr w:type="gram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несмотря на доминирование альфа-ритма, отмечалось снижение его  уровня и увеличение бета-активности, что характеризовалось, как повышенный уровень десинхронизации. По данным литературы десинхронизация характерна для функциональных расстройств ЦНС и свидетельствует о повышенном уровне возбудимости и лабильности головного </w:t>
      </w:r>
      <w:proofErr w:type="spellStart"/>
      <w:proofErr w:type="gram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головного</w:t>
      </w:r>
      <w:proofErr w:type="spellEnd"/>
      <w:proofErr w:type="gram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мозга. В ходе реабилитации у больных наблюдалась реорганизация биоэлектрической </w:t>
      </w:r>
      <w:proofErr w:type="spellStart"/>
      <w:proofErr w:type="gram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биоэлектрической</w:t>
      </w:r>
      <w:proofErr w:type="spellEnd"/>
      <w:proofErr w:type="gram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активности головного мозга. После проведения сеансов биоэлектрической </w:t>
      </w:r>
      <w:proofErr w:type="spell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психокоррекции</w:t>
      </w:r>
      <w:proofErr w:type="spell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у больных ОГ с доминирующим альфа-ритмом ЭЭГ было зарегистрировано увеличение доли периодов альфа-ритма с 32,4%±3,2 до 54,2%±4,1 (</w:t>
      </w:r>
      <w:proofErr w:type="gram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</w:t>
      </w:r>
      <w:proofErr w:type="gram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&lt;0,001) и  доли периодов бета-ритма с   55,3%±6,2 до 28,5%±4,5 (р&lt;0,001). Показатель межполушарной асимметрии достоверно уменьшился с 0,196±0,3 до 0,105±0,02 (</w:t>
      </w:r>
      <w:proofErr w:type="gram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</w:t>
      </w:r>
      <w:proofErr w:type="gram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&lt;0,05). У больных ОГ с </w:t>
      </w:r>
      <w:proofErr w:type="spell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полиритмичной</w:t>
      </w:r>
      <w:proofErr w:type="spell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и организацией биоэлектрической активности и КГ наблюдалась тенденция к росту </w:t>
      </w:r>
      <w:proofErr w:type="gram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альфа-ритма</w:t>
      </w:r>
      <w:proofErr w:type="gram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и снижению бета-ритма. Показатель межполушарной асимметрии практически не изменился. Данные изменения свидетельствуют о том, что </w:t>
      </w: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>включение БПК в комплексную медицинскую реабилитацию больных ИМ позволяет оптимизировать  функциональное состояние их ЦНС.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Другим показателем, свидетельствующим об улучшении функционального состояния ЦНС явилось сокращение латентного времени ПЗМР у больных ОГ с 255 мс±17 до 189 мс±16 (</w:t>
      </w:r>
      <w:proofErr w:type="gram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р</w:t>
      </w:r>
      <w:proofErr w:type="gram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&lt;0,01), у больных КГ с 260 мс±19 до 220 мс±22 (р&gt;0,05).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После проведенного курса реабилитации эффективность лечения больными ОГ расценивалась как отличная – 66,7%, хорошая – 22,2%, удовлетворительная – 6,7%, неудовлетворительная – 4,4%, больными </w:t>
      </w:r>
      <w:proofErr w:type="gram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КГ</w:t>
      </w:r>
      <w:proofErr w:type="gram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как отличная – 40,0%, хорошая – 28,9 %, удовлетворительная -17,8%, неудовлетворительная -13,3%.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Наблюдаемую динамику параметров биоэлектрической активности головного мозга и психологического тестирования в процессе реабилитации у больных ОГ, можно характеризовать как нормализацию психофизиологического состояния. В связи с этим можно предположить, что оптимизация функционального состояния ЦНС обусловливает снижение активности симпатической нервной системы и, как следствие, замедление частоты сердечных сокращений, снижение общего периферического сосудистого сопротивления, что ведет к уменьшению нагрузки на сердечную мышцу. Кроме того, снижение активности симпатической нервной системы способствует улучшению центральной регуляции дыхательной системы, что приводит к улучшению ФВД. Улучшение показателей ФВД способствует коррекции гипоксемии, повышению эффективности тканевого дыхания и, как следствие, увеличению сократительной способности миокарда и сердечного выброс, в результате чего у больных ИМ ОГ повысилась ТФН в более значительной степени, чем у больных </w:t>
      </w:r>
      <w:proofErr w:type="gram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КГ</w:t>
      </w:r>
      <w:proofErr w:type="gram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[20].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Наблюдаемые спектральные перестройки биоэлектрической активности головного мозга, в этой группе больных, сопровождались улучшением звукового образа ЭЭГ. Можно предположить, что звуковой образ, в данной процедуре, является внешним критерием функционального состояния ЦНС и его улучшение свидетельствует об «упорядоченности» электрической активности ЦНС [19].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Полученные результаты, позволяют предположить, что наилучший результат при медицинской реабилитации получен при применении биоакустической </w:t>
      </w:r>
      <w:proofErr w:type="spell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психокоррекции</w:t>
      </w:r>
      <w:proofErr w:type="spell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у больных ИМ </w:t>
      </w:r>
      <w:proofErr w:type="gram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</w:t>
      </w:r>
      <w:proofErr w:type="gram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доминирующим альфа-ритмом ЭЭГ. Повышение эффективности реабилитации больных ИМ связано с улучшение вегетативной регуляции </w:t>
      </w:r>
      <w:proofErr w:type="spell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кардиореспираторной</w:t>
      </w:r>
      <w:proofErr w:type="spell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системы. В результате комплексной реабилитации  у больных замечалось улучшение показателей ФВД, центральной гемодинамики, что привело к повышению толерантности к физической нагрузке, улучшению психофизиологического состояния.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Заключение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 больных ИМ в функционально-восстановительном периоде наряду с сердечной и дыхательной недостаточностью, снижение толерантности к физической нагрузке, выявляются нарушения функционирования ЦНС, которые могут иметь как органическую, так и функциональную природу.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Проведение медицинской реабилитации по обычной программе  не оказывает значимого влияния на функциональное состояние ЦНС, что проявляется сохраняющимися изменениями психоэмоциональной сферы, сниженной переносимостью физических нагрузок, изменением функционирования </w:t>
      </w:r>
      <w:proofErr w:type="spell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кардиореспираторной</w:t>
      </w:r>
      <w:proofErr w:type="spell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системы больных ИМ.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Включение в комплексную программу медицинской реабилитации больных ИМ  сеансов БПК приводит к улучшению функционального состояния  ЦНС, что способствует нормализации центральной вегетативной регуляции </w:t>
      </w:r>
      <w:proofErr w:type="spell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кардиореспираторной</w:t>
      </w:r>
      <w:proofErr w:type="spell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 системы, особенно у больных с функциональными нарушениями ЦНС, что обеспечивает прирост реабилитационного эффекта.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РЕЗЮМЕ</w:t>
      </w:r>
    </w:p>
    <w:p w:rsidR="001F3290" w:rsidRPr="001F3290" w:rsidRDefault="001F3290" w:rsidP="001F3290">
      <w:pPr>
        <w:shd w:val="clear" w:color="auto" w:fill="FFFFFF"/>
        <w:spacing w:after="0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Отклонение в психоэмоциональной сфере, </w:t>
      </w:r>
      <w:proofErr w:type="gram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повышенная</w:t>
      </w:r>
      <w:proofErr w:type="gram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астенизация</w:t>
      </w:r>
      <w:proofErr w:type="spell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после перенесенного ИМ приводят к дисбалансу вегетативной нервной системы и нарушению регуляции </w:t>
      </w:r>
      <w:proofErr w:type="spell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кардиореспираторной</w:t>
      </w:r>
      <w:proofErr w:type="spell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системы, что ухудшает течение реабилитационного процесса.</w:t>
      </w:r>
    </w:p>
    <w:p w:rsidR="001F3290" w:rsidRPr="001F3290" w:rsidRDefault="001F3290" w:rsidP="001F3290">
      <w:pPr>
        <w:shd w:val="clear" w:color="auto" w:fill="FFFFFF"/>
        <w:ind w:firstLine="0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Включение в комплексную программу  медицинской реабилитации больных ИМ биоакустической </w:t>
      </w:r>
      <w:proofErr w:type="spellStart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пихокоррекции</w:t>
      </w:r>
      <w:proofErr w:type="spellEnd"/>
      <w:r w:rsidRPr="001F3290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способствует улучшению показателей вентиляционной функции легких, центральной гемодинамики, повышению толерантности к физической нагрузке и улучшению психофизиологического состояния больных.</w:t>
      </w:r>
    </w:p>
    <w:p w:rsidR="00601865" w:rsidRPr="001F3290" w:rsidRDefault="00601865" w:rsidP="001F3290">
      <w:pPr>
        <w:ind w:firstLine="0"/>
        <w:rPr>
          <w:color w:val="000000" w:themeColor="text1"/>
        </w:rPr>
      </w:pPr>
    </w:p>
    <w:sectPr w:rsidR="00601865" w:rsidRPr="001F3290" w:rsidSect="001F3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90"/>
    <w:rsid w:val="001B62AA"/>
    <w:rsid w:val="001F3290"/>
    <w:rsid w:val="00601865"/>
    <w:rsid w:val="00A704FC"/>
    <w:rsid w:val="00E5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FC"/>
    <w:pPr>
      <w:spacing w:after="8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1F3290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ate">
    <w:name w:val="article__date"/>
    <w:basedOn w:val="a"/>
    <w:rsid w:val="001F329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1F329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F32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FC"/>
    <w:pPr>
      <w:spacing w:after="8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1F3290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ate">
    <w:name w:val="article__date"/>
    <w:basedOn w:val="a"/>
    <w:rsid w:val="001F329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1F329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F3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27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2020-01-15T14:14:00Z</dcterms:created>
  <dcterms:modified xsi:type="dcterms:W3CDTF">2020-01-16T14:31:00Z</dcterms:modified>
</cp:coreProperties>
</file>